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60E1" w14:textId="77777777" w:rsidR="003B05C7" w:rsidRPr="00656DF1" w:rsidRDefault="00B61ACF">
      <w:pPr>
        <w:spacing w:before="19"/>
        <w:ind w:left="3566" w:right="1246" w:hanging="2329"/>
        <w:rPr>
          <w:b/>
          <w:sz w:val="30"/>
          <w:lang w:val="es-MX"/>
        </w:rPr>
      </w:pPr>
      <w:r w:rsidRPr="00656DF1">
        <w:rPr>
          <w:b/>
          <w:sz w:val="30"/>
          <w:lang w:val="es-MX"/>
        </w:rPr>
        <w:t>Política de selección y contratación de miembros del equipo y consultores externos</w:t>
      </w:r>
    </w:p>
    <w:p w14:paraId="32B17433" w14:textId="77777777" w:rsidR="003B05C7" w:rsidRPr="00656DF1" w:rsidRDefault="003B05C7">
      <w:pPr>
        <w:pStyle w:val="BodyText"/>
        <w:rPr>
          <w:b/>
          <w:sz w:val="30"/>
          <w:lang w:val="es-MX"/>
        </w:rPr>
      </w:pPr>
    </w:p>
    <w:p w14:paraId="5CC3A7E9" w14:textId="77777777" w:rsidR="003B05C7" w:rsidRPr="00656DF1" w:rsidRDefault="003B05C7">
      <w:pPr>
        <w:pStyle w:val="BodyText"/>
        <w:spacing w:before="9"/>
        <w:rPr>
          <w:b/>
          <w:sz w:val="24"/>
          <w:lang w:val="es-MX"/>
        </w:rPr>
      </w:pPr>
    </w:p>
    <w:p w14:paraId="590D7840" w14:textId="77777777" w:rsidR="003B05C7" w:rsidRPr="00656DF1" w:rsidRDefault="00B61ACF">
      <w:pPr>
        <w:pStyle w:val="BodyText"/>
        <w:spacing w:before="1"/>
        <w:ind w:left="100" w:right="114"/>
        <w:jc w:val="both"/>
        <w:rPr>
          <w:lang w:val="es-MX"/>
        </w:rPr>
      </w:pPr>
      <w:r w:rsidRPr="00656DF1">
        <w:rPr>
          <w:b/>
          <w:lang w:val="es-MX"/>
        </w:rPr>
        <w:t xml:space="preserve">Convocatorias y selección. </w:t>
      </w:r>
      <w:r w:rsidRPr="00656DF1">
        <w:rPr>
          <w:lang w:val="es-MX"/>
        </w:rPr>
        <w:t>La dirección ejecutiva -junto con las coordinaciones del área temática pertinente y del área de desarrollo institucional- definirá las características del puesto y el perfil a contratar, explicitando las funciones a desarrollar, la formación y el conocimie</w:t>
      </w:r>
      <w:r w:rsidRPr="00656DF1">
        <w:rPr>
          <w:lang w:val="es-MX"/>
        </w:rPr>
        <w:t xml:space="preserve">nto necesario y las habilidades y actitudes requeridas. Según el cargo y la tarea, se resolverá conjuntamente la conveniencia de abrir una convocatoria externa, iniciar la búsqueda dentro del equipo existente, o convocar directamente a personas conocidas, </w:t>
      </w:r>
      <w:r w:rsidRPr="00656DF1">
        <w:rPr>
          <w:lang w:val="es-MX"/>
        </w:rPr>
        <w:t>recomendadas o allegadas. En caso de realizar una convocatoria externa, se establecerá y hará público un procedimiento que garantice transparencia en la toma de decisiones e igualdad de oportunidades para los postulantes que cumplan con los requisitos prev</w:t>
      </w:r>
      <w:r w:rsidRPr="00656DF1">
        <w:rPr>
          <w:lang w:val="es-MX"/>
        </w:rPr>
        <w:t xml:space="preserve">istos. Las convocatorias se difundirán a través de las redes sociales, página web de </w:t>
      </w:r>
      <w:r w:rsidRPr="00656DF1">
        <w:rPr>
          <w:color w:val="808080"/>
          <w:lang w:val="es-MX"/>
        </w:rPr>
        <w:t>[nombre de organización]</w:t>
      </w:r>
      <w:r w:rsidRPr="00656DF1">
        <w:rPr>
          <w:lang w:val="es-MX"/>
        </w:rPr>
        <w:t>, y listados de</w:t>
      </w:r>
      <w:r w:rsidRPr="00656DF1">
        <w:rPr>
          <w:spacing w:val="-8"/>
          <w:lang w:val="es-MX"/>
        </w:rPr>
        <w:t xml:space="preserve"> </w:t>
      </w:r>
      <w:r w:rsidRPr="00656DF1">
        <w:rPr>
          <w:lang w:val="es-MX"/>
        </w:rPr>
        <w:t>universidades.</w:t>
      </w:r>
    </w:p>
    <w:p w14:paraId="74CB0A96" w14:textId="77777777" w:rsidR="003B05C7" w:rsidRPr="00656DF1" w:rsidRDefault="003B05C7">
      <w:pPr>
        <w:pStyle w:val="BodyText"/>
        <w:spacing w:before="4"/>
        <w:rPr>
          <w:sz w:val="16"/>
          <w:lang w:val="es-MX"/>
        </w:rPr>
      </w:pPr>
    </w:p>
    <w:p w14:paraId="2C620671" w14:textId="77777777" w:rsidR="003B05C7" w:rsidRPr="00656DF1" w:rsidRDefault="00B61ACF">
      <w:pPr>
        <w:pStyle w:val="BodyText"/>
        <w:ind w:left="100" w:right="113"/>
        <w:jc w:val="both"/>
        <w:rPr>
          <w:lang w:val="es-MX"/>
        </w:rPr>
      </w:pPr>
      <w:r w:rsidRPr="00656DF1">
        <w:rPr>
          <w:lang w:val="es-MX"/>
        </w:rPr>
        <w:t>El proceso de selección se realizará a partir de una o más entrevistas con la dirección ejecutiva o aquellas person</w:t>
      </w:r>
      <w:r w:rsidRPr="00656DF1">
        <w:rPr>
          <w:lang w:val="es-MX"/>
        </w:rPr>
        <w:t>as que él / ella designe. Las coordinaciones de área participarán en las entrevistas de cualquier integrante a conformar su equipo y la decisión de contratación se tomará conjuntamente con la dirección ejecutiva. Salvo excepciones puntuales y justificadas,</w:t>
      </w:r>
      <w:r w:rsidRPr="00656DF1">
        <w:rPr>
          <w:lang w:val="es-MX"/>
        </w:rPr>
        <w:t xml:space="preserve"> los nombres de los candidatos se mantendrán con total confidencialidad hasta que se tome la decisión final. El Consejo Directivo estará a cargo del proceso de convocatoria, selección, perfil y orientación de la dirección ejecutiva, velando por la estabili</w:t>
      </w:r>
      <w:r w:rsidRPr="00656DF1">
        <w:rPr>
          <w:lang w:val="es-MX"/>
        </w:rPr>
        <w:t>dad institucional y asegurando canales adecuados de transparencia y comunicación interna y</w:t>
      </w:r>
      <w:r w:rsidRPr="00656DF1">
        <w:rPr>
          <w:spacing w:val="-9"/>
          <w:lang w:val="es-MX"/>
        </w:rPr>
        <w:t xml:space="preserve"> </w:t>
      </w:r>
      <w:r w:rsidRPr="00656DF1">
        <w:rPr>
          <w:lang w:val="es-MX"/>
        </w:rPr>
        <w:t>externa.</w:t>
      </w:r>
    </w:p>
    <w:p w14:paraId="479DF0E5" w14:textId="77777777" w:rsidR="003B05C7" w:rsidRPr="00656DF1" w:rsidRDefault="003B05C7">
      <w:pPr>
        <w:pStyle w:val="BodyText"/>
        <w:spacing w:before="5"/>
        <w:rPr>
          <w:sz w:val="16"/>
          <w:lang w:val="es-MX"/>
        </w:rPr>
      </w:pPr>
    </w:p>
    <w:p w14:paraId="112F64D9" w14:textId="77777777" w:rsidR="003B05C7" w:rsidRPr="00656DF1" w:rsidRDefault="00B61ACF">
      <w:pPr>
        <w:pStyle w:val="BodyText"/>
        <w:spacing w:before="1"/>
        <w:ind w:left="100" w:right="113"/>
        <w:jc w:val="both"/>
        <w:rPr>
          <w:lang w:val="es-MX"/>
        </w:rPr>
      </w:pPr>
      <w:r w:rsidRPr="00656DF1">
        <w:rPr>
          <w:lang w:val="es-MX"/>
        </w:rPr>
        <w:t xml:space="preserve">Los documentos mínimos de postulación (para candidatos externos o internos) incluyen: currículum vitae (CV), carta de presentación y al menos dos personas </w:t>
      </w:r>
      <w:r w:rsidRPr="00656DF1">
        <w:rPr>
          <w:lang w:val="es-MX"/>
        </w:rPr>
        <w:t xml:space="preserve">de referencia profesional con datos de contacto. Los documentos deben ser enviados a </w:t>
      </w:r>
      <w:r w:rsidRPr="00656DF1">
        <w:rPr>
          <w:color w:val="808080"/>
          <w:lang w:val="es-MX"/>
        </w:rPr>
        <w:t>[mail institucional o de la persona a cargo de recibir las postulaciones]</w:t>
      </w:r>
      <w:r w:rsidRPr="00656DF1">
        <w:rPr>
          <w:lang w:val="es-MX"/>
        </w:rPr>
        <w:t xml:space="preserve">. En ciertos casos, también se puede solicitar realizar un ejercicio práctico, brindar un ejemplo </w:t>
      </w:r>
      <w:r w:rsidRPr="00656DF1">
        <w:rPr>
          <w:lang w:val="es-MX"/>
        </w:rPr>
        <w:t xml:space="preserve">de documento escrito sobre la temática a trabajar en </w:t>
      </w:r>
      <w:r w:rsidRPr="00656DF1">
        <w:rPr>
          <w:color w:val="808080"/>
          <w:lang w:val="es-MX"/>
        </w:rPr>
        <w:t>[nombre de organización]</w:t>
      </w:r>
      <w:r w:rsidRPr="00656DF1">
        <w:rPr>
          <w:lang w:val="es-MX"/>
        </w:rPr>
        <w:t>, u otro material de apoyo a la postulación.</w:t>
      </w:r>
    </w:p>
    <w:p w14:paraId="623CA2A2" w14:textId="77777777" w:rsidR="003B05C7" w:rsidRPr="00656DF1" w:rsidRDefault="003B05C7">
      <w:pPr>
        <w:pStyle w:val="BodyText"/>
        <w:spacing w:before="7"/>
        <w:rPr>
          <w:sz w:val="16"/>
          <w:lang w:val="es-MX"/>
        </w:rPr>
      </w:pPr>
    </w:p>
    <w:p w14:paraId="4B381DD5" w14:textId="77777777" w:rsidR="003B05C7" w:rsidRDefault="00B61ACF">
      <w:pPr>
        <w:pStyle w:val="Heading1"/>
        <w:ind w:left="100" w:firstLine="0"/>
      </w:pPr>
      <w:r>
        <w:t>Procesos de contratación.</w:t>
      </w:r>
    </w:p>
    <w:p w14:paraId="42DD4D52" w14:textId="77777777" w:rsidR="003B05C7" w:rsidRDefault="00B61ACF">
      <w:pPr>
        <w:pStyle w:val="ListParagraph"/>
        <w:numPr>
          <w:ilvl w:val="0"/>
          <w:numId w:val="2"/>
        </w:numPr>
        <w:tabs>
          <w:tab w:val="left" w:pos="1315"/>
        </w:tabs>
        <w:spacing w:before="197"/>
        <w:ind w:hanging="361"/>
        <w:rPr>
          <w:b/>
        </w:rPr>
      </w:pPr>
      <w:r>
        <w:rPr>
          <w:b/>
        </w:rPr>
        <w:t>Miembros del</w:t>
      </w:r>
      <w:r>
        <w:rPr>
          <w:b/>
          <w:spacing w:val="-9"/>
        </w:rPr>
        <w:t xml:space="preserve"> </w:t>
      </w:r>
      <w:r>
        <w:rPr>
          <w:b/>
        </w:rPr>
        <w:t>equipo</w:t>
      </w:r>
    </w:p>
    <w:p w14:paraId="3EEC0D91" w14:textId="77777777" w:rsidR="003B05C7" w:rsidRDefault="003B05C7">
      <w:pPr>
        <w:pStyle w:val="BodyText"/>
        <w:spacing w:before="1"/>
        <w:rPr>
          <w:b/>
        </w:rPr>
      </w:pPr>
    </w:p>
    <w:p w14:paraId="00D15829" w14:textId="77777777" w:rsidR="003B05C7" w:rsidRPr="00656DF1" w:rsidRDefault="00B61ACF">
      <w:pPr>
        <w:pStyle w:val="ListParagraph"/>
        <w:numPr>
          <w:ilvl w:val="0"/>
          <w:numId w:val="1"/>
        </w:numPr>
        <w:tabs>
          <w:tab w:val="left" w:pos="383"/>
          <w:tab w:val="left" w:pos="384"/>
        </w:tabs>
        <w:rPr>
          <w:lang w:val="es-MX"/>
        </w:rPr>
      </w:pPr>
      <w:r w:rsidRPr="00656DF1">
        <w:rPr>
          <w:lang w:val="es-MX"/>
        </w:rPr>
        <w:t>Los períodos de prueba son de tres</w:t>
      </w:r>
      <w:r w:rsidRPr="00656DF1">
        <w:rPr>
          <w:spacing w:val="-14"/>
          <w:lang w:val="es-MX"/>
        </w:rPr>
        <w:t xml:space="preserve"> </w:t>
      </w:r>
      <w:r w:rsidRPr="00656DF1">
        <w:rPr>
          <w:lang w:val="es-MX"/>
        </w:rPr>
        <w:t>meses.</w:t>
      </w:r>
    </w:p>
    <w:p w14:paraId="7A2FC042" w14:textId="77777777" w:rsidR="003B05C7" w:rsidRPr="00656DF1" w:rsidRDefault="00B61ACF">
      <w:pPr>
        <w:pStyle w:val="ListParagraph"/>
        <w:numPr>
          <w:ilvl w:val="0"/>
          <w:numId w:val="1"/>
        </w:numPr>
        <w:tabs>
          <w:tab w:val="left" w:pos="383"/>
          <w:tab w:val="left" w:pos="384"/>
        </w:tabs>
        <w:spacing w:line="267" w:lineRule="exact"/>
        <w:rPr>
          <w:lang w:val="es-MX"/>
        </w:rPr>
      </w:pPr>
      <w:r w:rsidRPr="00656DF1">
        <w:rPr>
          <w:lang w:val="es-MX"/>
        </w:rPr>
        <w:t>En el contrato de prueba no se tendrán perío</w:t>
      </w:r>
      <w:r w:rsidRPr="00656DF1">
        <w:rPr>
          <w:lang w:val="es-MX"/>
        </w:rPr>
        <w:t>dos</w:t>
      </w:r>
      <w:r w:rsidRPr="00656DF1">
        <w:rPr>
          <w:spacing w:val="-3"/>
          <w:lang w:val="es-MX"/>
        </w:rPr>
        <w:t xml:space="preserve"> </w:t>
      </w:r>
      <w:r w:rsidRPr="00656DF1">
        <w:rPr>
          <w:lang w:val="es-MX"/>
        </w:rPr>
        <w:t>vacacionales.</w:t>
      </w:r>
    </w:p>
    <w:p w14:paraId="14EF99FE" w14:textId="77777777" w:rsidR="003B05C7" w:rsidRPr="00656DF1" w:rsidRDefault="00B61ACF">
      <w:pPr>
        <w:pStyle w:val="ListParagraph"/>
        <w:numPr>
          <w:ilvl w:val="0"/>
          <w:numId w:val="1"/>
        </w:numPr>
        <w:tabs>
          <w:tab w:val="left" w:pos="383"/>
          <w:tab w:val="left" w:pos="384"/>
        </w:tabs>
        <w:ind w:right="117"/>
        <w:rPr>
          <w:lang w:val="es-MX"/>
        </w:rPr>
      </w:pPr>
      <w:r w:rsidRPr="00656DF1">
        <w:rPr>
          <w:lang w:val="es-MX"/>
        </w:rPr>
        <w:t>Al finalizar el periodo de prueba se realizará una evaluación por parte de la dirección ejecutiva y la coordinación correspondiente y se tomará una</w:t>
      </w:r>
      <w:r w:rsidRPr="00656DF1">
        <w:rPr>
          <w:spacing w:val="-9"/>
          <w:lang w:val="es-MX"/>
        </w:rPr>
        <w:t xml:space="preserve"> </w:t>
      </w:r>
      <w:r w:rsidRPr="00656DF1">
        <w:rPr>
          <w:lang w:val="es-MX"/>
        </w:rPr>
        <w:t>decisión.</w:t>
      </w:r>
    </w:p>
    <w:p w14:paraId="46F36796" w14:textId="77777777" w:rsidR="003B05C7" w:rsidRPr="00656DF1" w:rsidRDefault="003B05C7">
      <w:pPr>
        <w:pStyle w:val="BodyText"/>
        <w:rPr>
          <w:lang w:val="es-MX"/>
        </w:rPr>
      </w:pPr>
    </w:p>
    <w:p w14:paraId="02D9B5D2" w14:textId="77777777" w:rsidR="003B05C7" w:rsidRDefault="00B61ACF">
      <w:pPr>
        <w:pStyle w:val="Heading1"/>
        <w:numPr>
          <w:ilvl w:val="0"/>
          <w:numId w:val="2"/>
        </w:numPr>
        <w:tabs>
          <w:tab w:val="left" w:pos="1315"/>
        </w:tabs>
        <w:ind w:hanging="361"/>
      </w:pPr>
      <w:r>
        <w:t>Consultores y asesores</w:t>
      </w:r>
      <w:r>
        <w:rPr>
          <w:spacing w:val="-4"/>
        </w:rPr>
        <w:t xml:space="preserve"> </w:t>
      </w:r>
      <w:r>
        <w:t>externos</w:t>
      </w:r>
    </w:p>
    <w:p w14:paraId="7520E1F9" w14:textId="77777777" w:rsidR="003B05C7" w:rsidRDefault="003B05C7">
      <w:pPr>
        <w:pStyle w:val="BodyText"/>
        <w:rPr>
          <w:b/>
        </w:rPr>
      </w:pPr>
    </w:p>
    <w:p w14:paraId="0989FF81" w14:textId="77777777" w:rsidR="003B05C7" w:rsidRPr="00656DF1" w:rsidRDefault="00B61ACF">
      <w:pPr>
        <w:pStyle w:val="BodyText"/>
        <w:ind w:left="100" w:right="113"/>
        <w:jc w:val="both"/>
        <w:rPr>
          <w:lang w:val="es-MX"/>
        </w:rPr>
      </w:pPr>
      <w:r w:rsidRPr="00656DF1">
        <w:rPr>
          <w:lang w:val="es-MX"/>
        </w:rPr>
        <w:t>La dirección ejecutiva -conjuntamente con la coordinación de áre</w:t>
      </w:r>
      <w:r w:rsidRPr="00656DF1">
        <w:rPr>
          <w:lang w:val="es-MX"/>
        </w:rPr>
        <w:t>a pertinente- establecerá las características del trabajo a realizar y los conocimientos necesarios, armará los términos de referencia e identificará potenciales candidatos a considerar. La decisión sobre la contratación de un / a consultor / a versus un /</w:t>
      </w:r>
      <w:r w:rsidRPr="00656DF1">
        <w:rPr>
          <w:lang w:val="es-MX"/>
        </w:rPr>
        <w:t xml:space="preserve"> a integrante del equipo estable será tomada por la dirección ejecutiva en función de la tarea a desarrollar, su lugar dentro de la visión estratégica de </w:t>
      </w:r>
      <w:r w:rsidRPr="00656DF1">
        <w:rPr>
          <w:color w:val="808080"/>
          <w:lang w:val="es-MX"/>
        </w:rPr>
        <w:t xml:space="preserve">[nombre de la organización] </w:t>
      </w:r>
      <w:r w:rsidRPr="00656DF1">
        <w:rPr>
          <w:lang w:val="es-MX"/>
        </w:rPr>
        <w:t>y los recursos disponibles.</w:t>
      </w:r>
    </w:p>
    <w:p w14:paraId="0E1BAD97" w14:textId="77777777" w:rsidR="003B05C7" w:rsidRPr="00656DF1" w:rsidRDefault="003B05C7">
      <w:pPr>
        <w:pStyle w:val="BodyText"/>
        <w:spacing w:before="6"/>
        <w:rPr>
          <w:sz w:val="16"/>
          <w:lang w:val="es-MX"/>
        </w:rPr>
      </w:pPr>
    </w:p>
    <w:p w14:paraId="56DF3665" w14:textId="77777777" w:rsidR="003B05C7" w:rsidRPr="00656DF1" w:rsidRDefault="00B61ACF">
      <w:pPr>
        <w:pStyle w:val="BodyText"/>
        <w:ind w:left="100" w:right="115"/>
        <w:jc w:val="both"/>
        <w:rPr>
          <w:lang w:val="es-MX"/>
        </w:rPr>
      </w:pPr>
      <w:r w:rsidRPr="00656DF1">
        <w:rPr>
          <w:b/>
          <w:lang w:val="es-MX"/>
        </w:rPr>
        <w:t xml:space="preserve">Orientación. </w:t>
      </w:r>
      <w:r w:rsidRPr="00656DF1">
        <w:rPr>
          <w:lang w:val="es-MX"/>
        </w:rPr>
        <w:t xml:space="preserve">Al incorporarse a </w:t>
      </w:r>
      <w:r w:rsidRPr="00656DF1">
        <w:rPr>
          <w:color w:val="7E7E7E"/>
          <w:lang w:val="es-MX"/>
        </w:rPr>
        <w:t xml:space="preserve">[nombre de la </w:t>
      </w:r>
      <w:r w:rsidRPr="00656DF1">
        <w:rPr>
          <w:color w:val="7E7E7E"/>
          <w:lang w:val="es-MX"/>
        </w:rPr>
        <w:t>organización]</w:t>
      </w:r>
      <w:r w:rsidRPr="00656DF1">
        <w:rPr>
          <w:lang w:val="es-MX"/>
        </w:rPr>
        <w:t>, los nuevos integrantes del equipo recibirán material de orientación por parte del área de desarrollo institucional o del / de la Coordinador / a inmediato</w:t>
      </w:r>
    </w:p>
    <w:p w14:paraId="4C36B7E7" w14:textId="77777777" w:rsidR="003B05C7" w:rsidRPr="00656DF1" w:rsidRDefault="00B61ACF">
      <w:pPr>
        <w:pStyle w:val="BodyText"/>
        <w:spacing w:before="1"/>
        <w:ind w:left="100" w:right="114"/>
        <w:jc w:val="both"/>
        <w:rPr>
          <w:lang w:val="es-MX"/>
        </w:rPr>
      </w:pPr>
      <w:r w:rsidRPr="00656DF1">
        <w:rPr>
          <w:lang w:val="es-MX"/>
        </w:rPr>
        <w:t>/ a que incluirá: el presente manual institucional, principales proyectos de financiam</w:t>
      </w:r>
      <w:r w:rsidRPr="00656DF1">
        <w:rPr>
          <w:lang w:val="es-MX"/>
        </w:rPr>
        <w:t>iento (propuestas y / o últimos informes narrativos), publicaciones clave, último plan estratégico y plan operativo y cualquier otro documento que se estime pertinente para facilitar su entendimiento de la organización y su área de trabajo en particular.</w:t>
      </w:r>
    </w:p>
    <w:p w14:paraId="6A39F261" w14:textId="77777777" w:rsidR="003B05C7" w:rsidRPr="00656DF1" w:rsidRDefault="003B05C7">
      <w:pPr>
        <w:jc w:val="both"/>
        <w:rPr>
          <w:lang w:val="es-MX"/>
        </w:rPr>
        <w:sectPr w:rsidR="003B05C7" w:rsidRPr="00656DF1">
          <w:footerReference w:type="default" r:id="rId7"/>
          <w:type w:val="continuous"/>
          <w:pgSz w:w="11910" w:h="16840"/>
          <w:pgMar w:top="1400" w:right="960" w:bottom="1180" w:left="980" w:header="720" w:footer="989" w:gutter="0"/>
          <w:pgNumType w:start="1"/>
          <w:cols w:space="720"/>
        </w:sectPr>
      </w:pPr>
    </w:p>
    <w:p w14:paraId="4C146ECB" w14:textId="77777777" w:rsidR="003B05C7" w:rsidRPr="00656DF1" w:rsidRDefault="00B61ACF">
      <w:pPr>
        <w:pStyle w:val="BodyText"/>
        <w:spacing w:before="38" w:line="276" w:lineRule="auto"/>
        <w:ind w:left="100" w:right="115"/>
        <w:rPr>
          <w:lang w:val="es-MX"/>
        </w:rPr>
      </w:pPr>
      <w:r w:rsidRPr="00656DF1">
        <w:rPr>
          <w:b/>
          <w:lang w:val="es-MX"/>
        </w:rPr>
        <w:lastRenderedPageBreak/>
        <w:t xml:space="preserve">Fuente: </w:t>
      </w:r>
      <w:r w:rsidRPr="00656DF1">
        <w:rPr>
          <w:lang w:val="es-MX"/>
        </w:rPr>
        <w:t xml:space="preserve">Cómo elaborar un manual de políticas institucionales: Una guía práctica para organizaciones no- gubernamentales en América Latina. Victoria Wigodzky y Martha Farmelo 2015. </w:t>
      </w:r>
      <w:hyperlink r:id="rId8">
        <w:r w:rsidRPr="00656DF1">
          <w:rPr>
            <w:color w:val="0462C1"/>
            <w:u w:val="single" w:color="0462C1"/>
            <w:lang w:val="es-MX"/>
          </w:rPr>
          <w:t>http://orgsefectivas.org/wp-</w:t>
        </w:r>
      </w:hyperlink>
      <w:r w:rsidRPr="00656DF1">
        <w:rPr>
          <w:color w:val="0462C1"/>
          <w:lang w:val="es-MX"/>
        </w:rPr>
        <w:t xml:space="preserve"> </w:t>
      </w:r>
      <w:hyperlink r:id="rId9">
        <w:r w:rsidRPr="00656DF1">
          <w:rPr>
            <w:color w:val="0462C1"/>
            <w:u w:val="single" w:color="0462C1"/>
            <w:lang w:val="es-MX"/>
          </w:rPr>
          <w:t>content/uploads/Gu%C3%ADa-manuales-institucionales-Diciembre-2015.pdf</w:t>
        </w:r>
      </w:hyperlink>
    </w:p>
    <w:sectPr w:rsidR="003B05C7" w:rsidRPr="00656DF1">
      <w:pgSz w:w="11910" w:h="16840"/>
      <w:pgMar w:top="1380" w:right="960" w:bottom="1180" w:left="9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3A7E" w14:textId="77777777" w:rsidR="00B61ACF" w:rsidRDefault="00B61ACF">
      <w:r>
        <w:separator/>
      </w:r>
    </w:p>
  </w:endnote>
  <w:endnote w:type="continuationSeparator" w:id="0">
    <w:p w14:paraId="34659596" w14:textId="77777777" w:rsidR="00B61ACF" w:rsidRDefault="00B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CB2" w14:textId="436BD661" w:rsidR="003B05C7" w:rsidRDefault="00656D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8E22C4" wp14:editId="31C73C94">
              <wp:simplePos x="0" y="0"/>
              <wp:positionH relativeFrom="page">
                <wp:posOffset>6774180</wp:posOffset>
              </wp:positionH>
              <wp:positionV relativeFrom="page">
                <wp:posOffset>9924415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86688" w14:textId="77777777" w:rsidR="003B05C7" w:rsidRDefault="00B61AC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E2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pt;margin-top:781.4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" filled="f" stroked="f">
              <v:textbox inset="0,0,0,0">
                <w:txbxContent>
                  <w:p w14:paraId="66D86688" w14:textId="77777777" w:rsidR="003B05C7" w:rsidRDefault="00B61ACF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5C47" w14:textId="77777777" w:rsidR="00B61ACF" w:rsidRDefault="00B61ACF">
      <w:r>
        <w:separator/>
      </w:r>
    </w:p>
  </w:footnote>
  <w:footnote w:type="continuationSeparator" w:id="0">
    <w:p w14:paraId="1D163CF4" w14:textId="77777777" w:rsidR="00B61ACF" w:rsidRDefault="00B6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B7F"/>
    <w:multiLevelType w:val="hybridMultilevel"/>
    <w:tmpl w:val="FFE8355E"/>
    <w:lvl w:ilvl="0" w:tplc="BFFCA636">
      <w:numFmt w:val="bullet"/>
      <w:lvlText w:val="-"/>
      <w:lvlJc w:val="left"/>
      <w:pPr>
        <w:ind w:left="383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C7E6846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en-US"/>
      </w:rPr>
    </w:lvl>
    <w:lvl w:ilvl="2" w:tplc="E52C664E">
      <w:numFmt w:val="bullet"/>
      <w:lvlText w:val="•"/>
      <w:lvlJc w:val="left"/>
      <w:pPr>
        <w:ind w:left="2297" w:hanging="284"/>
      </w:pPr>
      <w:rPr>
        <w:rFonts w:hint="default"/>
        <w:lang w:val="en-US" w:eastAsia="en-US" w:bidi="en-US"/>
      </w:rPr>
    </w:lvl>
    <w:lvl w:ilvl="3" w:tplc="5E78A4A4">
      <w:numFmt w:val="bullet"/>
      <w:lvlText w:val="•"/>
      <w:lvlJc w:val="left"/>
      <w:pPr>
        <w:ind w:left="3255" w:hanging="284"/>
      </w:pPr>
      <w:rPr>
        <w:rFonts w:hint="default"/>
        <w:lang w:val="en-US" w:eastAsia="en-US" w:bidi="en-US"/>
      </w:rPr>
    </w:lvl>
    <w:lvl w:ilvl="4" w:tplc="B7B2C802">
      <w:numFmt w:val="bullet"/>
      <w:lvlText w:val="•"/>
      <w:lvlJc w:val="left"/>
      <w:pPr>
        <w:ind w:left="4214" w:hanging="284"/>
      </w:pPr>
      <w:rPr>
        <w:rFonts w:hint="default"/>
        <w:lang w:val="en-US" w:eastAsia="en-US" w:bidi="en-US"/>
      </w:rPr>
    </w:lvl>
    <w:lvl w:ilvl="5" w:tplc="A21A41D4">
      <w:numFmt w:val="bullet"/>
      <w:lvlText w:val="•"/>
      <w:lvlJc w:val="left"/>
      <w:pPr>
        <w:ind w:left="5173" w:hanging="284"/>
      </w:pPr>
      <w:rPr>
        <w:rFonts w:hint="default"/>
        <w:lang w:val="en-US" w:eastAsia="en-US" w:bidi="en-US"/>
      </w:rPr>
    </w:lvl>
    <w:lvl w:ilvl="6" w:tplc="EE84F49E">
      <w:numFmt w:val="bullet"/>
      <w:lvlText w:val="•"/>
      <w:lvlJc w:val="left"/>
      <w:pPr>
        <w:ind w:left="6131" w:hanging="284"/>
      </w:pPr>
      <w:rPr>
        <w:rFonts w:hint="default"/>
        <w:lang w:val="en-US" w:eastAsia="en-US" w:bidi="en-US"/>
      </w:rPr>
    </w:lvl>
    <w:lvl w:ilvl="7" w:tplc="090A0204">
      <w:numFmt w:val="bullet"/>
      <w:lvlText w:val="•"/>
      <w:lvlJc w:val="left"/>
      <w:pPr>
        <w:ind w:left="7090" w:hanging="284"/>
      </w:pPr>
      <w:rPr>
        <w:rFonts w:hint="default"/>
        <w:lang w:val="en-US" w:eastAsia="en-US" w:bidi="en-US"/>
      </w:rPr>
    </w:lvl>
    <w:lvl w:ilvl="8" w:tplc="9A82D1A4">
      <w:numFmt w:val="bullet"/>
      <w:lvlText w:val="•"/>
      <w:lvlJc w:val="left"/>
      <w:pPr>
        <w:ind w:left="8049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1FDA2138"/>
    <w:multiLevelType w:val="hybridMultilevel"/>
    <w:tmpl w:val="232A8CD8"/>
    <w:lvl w:ilvl="0" w:tplc="B6AA0738">
      <w:start w:val="1"/>
      <w:numFmt w:val="lowerLetter"/>
      <w:lvlText w:val="%1)"/>
      <w:lvlJc w:val="left"/>
      <w:pPr>
        <w:ind w:left="131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764479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2" w:tplc="7B362AAA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3" w:tplc="10C80F2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4" w:tplc="E182C08A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0B0A037A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en-US"/>
      </w:rPr>
    </w:lvl>
    <w:lvl w:ilvl="6" w:tplc="DFC2D280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en-US"/>
      </w:rPr>
    </w:lvl>
    <w:lvl w:ilvl="7" w:tplc="F9F2842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EFC8894A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C7"/>
    <w:rsid w:val="003B05C7"/>
    <w:rsid w:val="00656DF1"/>
    <w:rsid w:val="00B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0E7F"/>
  <w15:docId w15:val="{28B03E40-0144-4B50-B306-911432D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314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sefectivas.org/wp-content/uploads/Gu%C3%ADa-manuales-institucionales-Diciembre-2015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sefectivas.org/wp-content/uploads/Gu%C3%ADa-manuales-institucionales-Diciembr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ok</cp:lastModifiedBy>
  <cp:revision>2</cp:revision>
  <dcterms:created xsi:type="dcterms:W3CDTF">2021-03-15T19:26:00Z</dcterms:created>
  <dcterms:modified xsi:type="dcterms:W3CDTF">2021-03-15T19:26:00Z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