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D514" w14:textId="77777777" w:rsidR="00EC6C7A" w:rsidRPr="00211855" w:rsidRDefault="00211855">
      <w:pPr>
        <w:spacing w:before="19"/>
        <w:ind w:left="1732" w:right="1711"/>
        <w:jc w:val="center"/>
        <w:rPr>
          <w:b/>
          <w:sz w:val="30"/>
          <w:lang w:val="es-MX"/>
        </w:rPr>
      </w:pPr>
      <w:r w:rsidRPr="00211855">
        <w:rPr>
          <w:b/>
          <w:sz w:val="30"/>
          <w:lang w:val="es-MX"/>
        </w:rPr>
        <w:t>Un paso a paso para elaborar un manual institucional</w:t>
      </w:r>
    </w:p>
    <w:p w14:paraId="5F7048B7" w14:textId="77777777" w:rsidR="00EC6C7A" w:rsidRPr="00211855" w:rsidRDefault="00EC6C7A">
      <w:pPr>
        <w:pStyle w:val="BodyText"/>
        <w:spacing w:before="7" w:after="1"/>
        <w:rPr>
          <w:b/>
          <w:sz w:val="16"/>
          <w:lang w:val="es-MX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843"/>
        <w:gridCol w:w="1384"/>
        <w:gridCol w:w="2693"/>
      </w:tblGrid>
      <w:tr w:rsidR="00EC6C7A" w14:paraId="222C9643" w14:textId="77777777">
        <w:trPr>
          <w:trHeight w:val="551"/>
        </w:trPr>
        <w:tc>
          <w:tcPr>
            <w:tcW w:w="3968" w:type="dxa"/>
            <w:shd w:val="clear" w:color="auto" w:fill="EDDFD9"/>
          </w:tcPr>
          <w:p w14:paraId="71A27642" w14:textId="77777777" w:rsidR="00EC6C7A" w:rsidRDefault="00211855">
            <w:pPr>
              <w:pStyle w:val="TableParagraph"/>
              <w:spacing w:before="76"/>
              <w:ind w:left="1772" w:right="176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Qué</w:t>
            </w:r>
            <w:proofErr w:type="spellEnd"/>
          </w:p>
        </w:tc>
        <w:tc>
          <w:tcPr>
            <w:tcW w:w="1843" w:type="dxa"/>
            <w:shd w:val="clear" w:color="auto" w:fill="EDDFD9"/>
          </w:tcPr>
          <w:p w14:paraId="009FC3C2" w14:textId="77777777" w:rsidR="00EC6C7A" w:rsidRDefault="00211855">
            <w:pPr>
              <w:pStyle w:val="TableParagraph"/>
              <w:spacing w:before="76"/>
              <w:ind w:left="625" w:right="6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Quién</w:t>
            </w:r>
            <w:proofErr w:type="spellEnd"/>
          </w:p>
        </w:tc>
        <w:tc>
          <w:tcPr>
            <w:tcW w:w="1384" w:type="dxa"/>
            <w:shd w:val="clear" w:color="auto" w:fill="EDDFD9"/>
          </w:tcPr>
          <w:p w14:paraId="0C258DAC" w14:textId="77777777" w:rsidR="00EC6C7A" w:rsidRDefault="00211855">
            <w:pPr>
              <w:pStyle w:val="TableParagraph"/>
              <w:spacing w:before="76"/>
              <w:ind w:left="343"/>
              <w:rPr>
                <w:b/>
              </w:rPr>
            </w:pPr>
            <w:proofErr w:type="spellStart"/>
            <w:r>
              <w:rPr>
                <w:b/>
              </w:rPr>
              <w:t>Cuándo</w:t>
            </w:r>
            <w:proofErr w:type="spellEnd"/>
          </w:p>
        </w:tc>
        <w:tc>
          <w:tcPr>
            <w:tcW w:w="2693" w:type="dxa"/>
            <w:shd w:val="clear" w:color="auto" w:fill="EDDFD9"/>
          </w:tcPr>
          <w:p w14:paraId="17B8A8B3" w14:textId="77777777" w:rsidR="00EC6C7A" w:rsidRDefault="00211855">
            <w:pPr>
              <w:pStyle w:val="TableParagraph"/>
              <w:spacing w:before="76"/>
              <w:ind w:left="764"/>
              <w:rPr>
                <w:b/>
              </w:rPr>
            </w:pPr>
            <w:proofErr w:type="spellStart"/>
            <w:r>
              <w:rPr>
                <w:b/>
              </w:rPr>
              <w:t>Comentarios</w:t>
            </w:r>
            <w:proofErr w:type="spellEnd"/>
          </w:p>
        </w:tc>
      </w:tr>
      <w:tr w:rsidR="00EC6C7A" w:rsidRPr="00211855" w14:paraId="1B4A1B2F" w14:textId="77777777">
        <w:trPr>
          <w:trHeight w:val="750"/>
        </w:trPr>
        <w:tc>
          <w:tcPr>
            <w:tcW w:w="3968" w:type="dxa"/>
          </w:tcPr>
          <w:p w14:paraId="238D3F27" w14:textId="77777777" w:rsidR="00EC6C7A" w:rsidRPr="00211855" w:rsidRDefault="00211855">
            <w:pPr>
              <w:pStyle w:val="TableParagraph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Inventario de políticas y prácticas actuales</w:t>
            </w:r>
          </w:p>
        </w:tc>
        <w:tc>
          <w:tcPr>
            <w:tcW w:w="1843" w:type="dxa"/>
          </w:tcPr>
          <w:p w14:paraId="7CBC7CD7" w14:textId="77777777" w:rsidR="00EC6C7A" w:rsidRDefault="00211855">
            <w:pPr>
              <w:pStyle w:val="TableParagraph"/>
              <w:spacing w:before="83" w:line="288" w:lineRule="auto"/>
              <w:ind w:left="81" w:right="366"/>
              <w:rPr>
                <w:sz w:val="20"/>
              </w:rPr>
            </w:pPr>
            <w:proofErr w:type="spellStart"/>
            <w:r>
              <w:rPr>
                <w:sz w:val="20"/>
              </w:rPr>
              <w:t>Coordinadora</w:t>
            </w:r>
            <w:proofErr w:type="spellEnd"/>
            <w:r>
              <w:rPr>
                <w:sz w:val="20"/>
              </w:rPr>
              <w:t xml:space="preserve"> de Desarrollo</w:t>
            </w:r>
          </w:p>
        </w:tc>
        <w:tc>
          <w:tcPr>
            <w:tcW w:w="1384" w:type="dxa"/>
          </w:tcPr>
          <w:p w14:paraId="660E391B" w14:textId="77777777" w:rsidR="00EC6C7A" w:rsidRDefault="00211855">
            <w:pPr>
              <w:pStyle w:val="TableParagraph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Marzo</w:t>
            </w:r>
            <w:proofErr w:type="spellEnd"/>
          </w:p>
        </w:tc>
        <w:tc>
          <w:tcPr>
            <w:tcW w:w="2693" w:type="dxa"/>
          </w:tcPr>
          <w:p w14:paraId="4AB19FBE" w14:textId="77777777" w:rsidR="00EC6C7A" w:rsidRPr="00211855" w:rsidRDefault="00211855">
            <w:pPr>
              <w:pStyle w:val="TableParagraph"/>
              <w:spacing w:before="83" w:line="288" w:lineRule="auto"/>
              <w:ind w:left="80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Revisión de documentos, entrevista a administradora.</w:t>
            </w:r>
          </w:p>
        </w:tc>
      </w:tr>
      <w:tr w:rsidR="00EC6C7A" w14:paraId="16930CF6" w14:textId="77777777">
        <w:trPr>
          <w:trHeight w:val="748"/>
        </w:trPr>
        <w:tc>
          <w:tcPr>
            <w:tcW w:w="3968" w:type="dxa"/>
          </w:tcPr>
          <w:p w14:paraId="0501A7C7" w14:textId="77777777" w:rsidR="00EC6C7A" w:rsidRPr="00211855" w:rsidRDefault="00211855">
            <w:pPr>
              <w:pStyle w:val="TableParagraph"/>
              <w:spacing w:line="288" w:lineRule="auto"/>
              <w:ind w:right="353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Obtener información (manual, ejemplos de políticas, etc.) de ONGs aliadas</w:t>
            </w:r>
          </w:p>
        </w:tc>
        <w:tc>
          <w:tcPr>
            <w:tcW w:w="1843" w:type="dxa"/>
          </w:tcPr>
          <w:p w14:paraId="2B8E3EA2" w14:textId="77777777" w:rsidR="00EC6C7A" w:rsidRDefault="00211855">
            <w:pPr>
              <w:pStyle w:val="TableParagraph"/>
              <w:spacing w:before="78"/>
              <w:ind w:left="81"/>
              <w:rPr>
                <w:sz w:val="20"/>
              </w:rPr>
            </w:pPr>
            <w:r>
              <w:rPr>
                <w:sz w:val="20"/>
              </w:rPr>
              <w:t>CDI</w:t>
            </w:r>
          </w:p>
        </w:tc>
        <w:tc>
          <w:tcPr>
            <w:tcW w:w="1384" w:type="dxa"/>
          </w:tcPr>
          <w:p w14:paraId="0B058F51" w14:textId="77777777" w:rsidR="00EC6C7A" w:rsidRDefault="00211855">
            <w:pPr>
              <w:pStyle w:val="TableParagraph"/>
              <w:spacing w:before="78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Marzo</w:t>
            </w:r>
            <w:proofErr w:type="spellEnd"/>
          </w:p>
        </w:tc>
        <w:tc>
          <w:tcPr>
            <w:tcW w:w="2693" w:type="dxa"/>
          </w:tcPr>
          <w:p w14:paraId="6F57CE52" w14:textId="77777777" w:rsidR="00EC6C7A" w:rsidRDefault="00EC6C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6C7A" w:rsidRPr="00211855" w14:paraId="3CDD9049" w14:textId="77777777">
        <w:trPr>
          <w:trHeight w:val="750"/>
        </w:trPr>
        <w:tc>
          <w:tcPr>
            <w:tcW w:w="3968" w:type="dxa"/>
          </w:tcPr>
          <w:p w14:paraId="226505DF" w14:textId="77777777" w:rsidR="00EC6C7A" w:rsidRDefault="0021185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Consensuar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índice</w:t>
            </w:r>
            <w:proofErr w:type="spellEnd"/>
            <w:r>
              <w:rPr>
                <w:sz w:val="20"/>
              </w:rPr>
              <w:t xml:space="preserve"> de manual</w:t>
            </w:r>
          </w:p>
        </w:tc>
        <w:tc>
          <w:tcPr>
            <w:tcW w:w="1843" w:type="dxa"/>
          </w:tcPr>
          <w:p w14:paraId="189F00F3" w14:textId="77777777" w:rsidR="00EC6C7A" w:rsidRDefault="00211855">
            <w:pPr>
              <w:pStyle w:val="TableParagraph"/>
              <w:spacing w:before="83" w:line="285" w:lineRule="auto"/>
              <w:ind w:left="81" w:right="366"/>
              <w:rPr>
                <w:sz w:val="20"/>
              </w:rPr>
            </w:pPr>
            <w:r>
              <w:rPr>
                <w:sz w:val="20"/>
              </w:rPr>
              <w:t xml:space="preserve">CDI y </w:t>
            </w: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ejecutiva</w:t>
            </w:r>
            <w:proofErr w:type="spellEnd"/>
          </w:p>
        </w:tc>
        <w:tc>
          <w:tcPr>
            <w:tcW w:w="1384" w:type="dxa"/>
          </w:tcPr>
          <w:p w14:paraId="26F421F3" w14:textId="77777777" w:rsidR="00EC6C7A" w:rsidRDefault="00211855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2693" w:type="dxa"/>
          </w:tcPr>
          <w:p w14:paraId="7EC73F8A" w14:textId="77777777" w:rsidR="00EC6C7A" w:rsidRPr="00211855" w:rsidRDefault="00211855">
            <w:pPr>
              <w:pStyle w:val="TableParagraph"/>
              <w:spacing w:before="83" w:line="288" w:lineRule="auto"/>
              <w:ind w:left="80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Revisión de guía, consultas a ONG aliada.</w:t>
            </w:r>
          </w:p>
        </w:tc>
      </w:tr>
      <w:tr w:rsidR="00EC6C7A" w14:paraId="1CB3D84E" w14:textId="77777777">
        <w:trPr>
          <w:trHeight w:val="1034"/>
        </w:trPr>
        <w:tc>
          <w:tcPr>
            <w:tcW w:w="3968" w:type="dxa"/>
          </w:tcPr>
          <w:p w14:paraId="1AF523CD" w14:textId="77777777" w:rsidR="00EC6C7A" w:rsidRPr="00211855" w:rsidRDefault="00211855">
            <w:pPr>
              <w:pStyle w:val="TableParagraph"/>
              <w:spacing w:before="83" w:line="288" w:lineRule="auto"/>
              <w:ind w:right="244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Asignar responsabilidades de redacción para cada sección</w:t>
            </w:r>
          </w:p>
        </w:tc>
        <w:tc>
          <w:tcPr>
            <w:tcW w:w="1843" w:type="dxa"/>
          </w:tcPr>
          <w:p w14:paraId="496B3CCC" w14:textId="77777777" w:rsidR="00EC6C7A" w:rsidRPr="00211855" w:rsidRDefault="00211855">
            <w:pPr>
              <w:pStyle w:val="TableParagraph"/>
              <w:spacing w:before="83" w:line="288" w:lineRule="auto"/>
              <w:ind w:left="81" w:right="249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CDI, dirección ejecutiva y equipo CDI</w:t>
            </w:r>
          </w:p>
        </w:tc>
        <w:tc>
          <w:tcPr>
            <w:tcW w:w="1384" w:type="dxa"/>
          </w:tcPr>
          <w:p w14:paraId="32084955" w14:textId="77777777" w:rsidR="00EC6C7A" w:rsidRDefault="00211855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2693" w:type="dxa"/>
          </w:tcPr>
          <w:p w14:paraId="02F218F3" w14:textId="77777777" w:rsidR="00EC6C7A" w:rsidRDefault="00EC6C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6C7A" w:rsidRPr="00211855" w14:paraId="5D19A5BF" w14:textId="77777777">
        <w:trPr>
          <w:trHeight w:val="1374"/>
        </w:trPr>
        <w:tc>
          <w:tcPr>
            <w:tcW w:w="3968" w:type="dxa"/>
          </w:tcPr>
          <w:p w14:paraId="3A7DDA64" w14:textId="77777777" w:rsidR="00EC6C7A" w:rsidRDefault="002118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Consulta a abogado </w:t>
            </w:r>
            <w:proofErr w:type="spellStart"/>
            <w:r>
              <w:rPr>
                <w:sz w:val="20"/>
              </w:rPr>
              <w:t>laboralista</w:t>
            </w:r>
            <w:proofErr w:type="spellEnd"/>
          </w:p>
        </w:tc>
        <w:tc>
          <w:tcPr>
            <w:tcW w:w="1843" w:type="dxa"/>
          </w:tcPr>
          <w:p w14:paraId="093005B3" w14:textId="77777777" w:rsidR="00EC6C7A" w:rsidRDefault="00211855">
            <w:pPr>
              <w:pStyle w:val="TableParagraph"/>
              <w:spacing w:before="83" w:line="285" w:lineRule="auto"/>
              <w:ind w:left="81" w:right="51"/>
              <w:rPr>
                <w:sz w:val="20"/>
              </w:rPr>
            </w:pP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ejecutiva</w:t>
            </w:r>
            <w:proofErr w:type="spellEnd"/>
            <w:r>
              <w:rPr>
                <w:sz w:val="20"/>
              </w:rPr>
              <w:t xml:space="preserve"> y CDI</w:t>
            </w:r>
          </w:p>
        </w:tc>
        <w:tc>
          <w:tcPr>
            <w:tcW w:w="1384" w:type="dxa"/>
          </w:tcPr>
          <w:p w14:paraId="12574F90" w14:textId="77777777" w:rsidR="00EC6C7A" w:rsidRDefault="00211855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2693" w:type="dxa"/>
          </w:tcPr>
          <w:p w14:paraId="3A940F3F" w14:textId="77777777" w:rsidR="00EC6C7A" w:rsidRPr="00211855" w:rsidRDefault="00211855">
            <w:pPr>
              <w:pStyle w:val="TableParagraph"/>
              <w:spacing w:before="83" w:line="288" w:lineRule="auto"/>
              <w:ind w:left="80" w:right="329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Compila información de insumo; discuten preguntas puntuales de legislación relevante.</w:t>
            </w:r>
          </w:p>
        </w:tc>
      </w:tr>
      <w:tr w:rsidR="00EC6C7A" w:rsidRPr="00211855" w14:paraId="241D9024" w14:textId="77777777">
        <w:trPr>
          <w:trHeight w:val="1372"/>
        </w:trPr>
        <w:tc>
          <w:tcPr>
            <w:tcW w:w="3968" w:type="dxa"/>
          </w:tcPr>
          <w:p w14:paraId="3BF883A1" w14:textId="77777777" w:rsidR="00EC6C7A" w:rsidRDefault="00211855">
            <w:pPr>
              <w:pStyle w:val="TableParagraph"/>
              <w:spacing w:before="78"/>
              <w:rPr>
                <w:sz w:val="20"/>
              </w:rPr>
            </w:pPr>
            <w:proofErr w:type="spellStart"/>
            <w:r>
              <w:rPr>
                <w:sz w:val="20"/>
              </w:rPr>
              <w:t>Redacción</w:t>
            </w:r>
            <w:proofErr w:type="spellEnd"/>
            <w:r>
              <w:rPr>
                <w:sz w:val="20"/>
              </w:rPr>
              <w:t xml:space="preserve"> primer </w:t>
            </w:r>
            <w:proofErr w:type="spellStart"/>
            <w:r>
              <w:rPr>
                <w:sz w:val="20"/>
              </w:rPr>
              <w:t>borrador</w:t>
            </w:r>
            <w:proofErr w:type="spellEnd"/>
          </w:p>
        </w:tc>
        <w:tc>
          <w:tcPr>
            <w:tcW w:w="1843" w:type="dxa"/>
          </w:tcPr>
          <w:p w14:paraId="47DE78E7" w14:textId="77777777" w:rsidR="00EC6C7A" w:rsidRPr="00211855" w:rsidRDefault="00211855">
            <w:pPr>
              <w:pStyle w:val="TableParagraph"/>
              <w:spacing w:line="285" w:lineRule="auto"/>
              <w:ind w:left="81" w:right="249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CDI, dirección ejecutiva y equipo CDI</w:t>
            </w:r>
          </w:p>
        </w:tc>
        <w:tc>
          <w:tcPr>
            <w:tcW w:w="1384" w:type="dxa"/>
          </w:tcPr>
          <w:p w14:paraId="3CD0FF59" w14:textId="77777777" w:rsidR="00EC6C7A" w:rsidRDefault="00211855">
            <w:pPr>
              <w:pStyle w:val="TableParagraph"/>
              <w:spacing w:before="78"/>
              <w:ind w:left="82"/>
              <w:rPr>
                <w:sz w:val="20"/>
              </w:rPr>
            </w:pPr>
            <w:r>
              <w:rPr>
                <w:sz w:val="20"/>
              </w:rPr>
              <w:t>Abril - mayo</w:t>
            </w:r>
          </w:p>
        </w:tc>
        <w:tc>
          <w:tcPr>
            <w:tcW w:w="2693" w:type="dxa"/>
          </w:tcPr>
          <w:p w14:paraId="38E0D379" w14:textId="77777777" w:rsidR="00EC6C7A" w:rsidRPr="00211855" w:rsidRDefault="00211855">
            <w:pPr>
              <w:pStyle w:val="TableParagraph"/>
              <w:spacing w:line="288" w:lineRule="auto"/>
              <w:ind w:left="80" w:right="98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CDI redacta algunas secciones y compila insumos de los demás para armar primer borrador.</w:t>
            </w:r>
          </w:p>
        </w:tc>
      </w:tr>
      <w:tr w:rsidR="00EC6C7A" w:rsidRPr="00211855" w14:paraId="178A682A" w14:textId="77777777">
        <w:trPr>
          <w:trHeight w:val="748"/>
        </w:trPr>
        <w:tc>
          <w:tcPr>
            <w:tcW w:w="3968" w:type="dxa"/>
            <w:tcBorders>
              <w:bottom w:val="single" w:sz="6" w:space="0" w:color="000000"/>
            </w:tcBorders>
          </w:tcPr>
          <w:p w14:paraId="1D2F7DFC" w14:textId="77777777" w:rsidR="00EC6C7A" w:rsidRPr="00211855" w:rsidRDefault="00211855">
            <w:pPr>
              <w:pStyle w:val="TableParagraph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Primera reunión de consulta al equipo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4200FC45" w14:textId="77777777" w:rsidR="00EC6C7A" w:rsidRDefault="00211855">
            <w:pPr>
              <w:pStyle w:val="TableParagraph"/>
              <w:spacing w:before="83" w:line="285" w:lineRule="auto"/>
              <w:ind w:left="81" w:right="366"/>
              <w:rPr>
                <w:sz w:val="20"/>
              </w:rPr>
            </w:pPr>
            <w:r>
              <w:rPr>
                <w:sz w:val="20"/>
              </w:rPr>
              <w:t xml:space="preserve">CDI y </w:t>
            </w: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ejecutiva</w:t>
            </w:r>
            <w:proofErr w:type="spellEnd"/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 w14:paraId="3ADAC719" w14:textId="77777777" w:rsidR="00EC6C7A" w:rsidRDefault="00211855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Junio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7614D05D" w14:textId="77777777" w:rsidR="00EC6C7A" w:rsidRPr="00211855" w:rsidRDefault="00211855">
            <w:pPr>
              <w:pStyle w:val="TableParagraph"/>
              <w:spacing w:before="83" w:line="288" w:lineRule="auto"/>
              <w:ind w:left="80" w:right="249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Se envía borrador previo a la reunión.</w:t>
            </w:r>
          </w:p>
        </w:tc>
      </w:tr>
      <w:tr w:rsidR="00EC6C7A" w14:paraId="3121F959" w14:textId="77777777">
        <w:trPr>
          <w:trHeight w:val="748"/>
        </w:trPr>
        <w:tc>
          <w:tcPr>
            <w:tcW w:w="3968" w:type="dxa"/>
            <w:tcBorders>
              <w:top w:val="single" w:sz="6" w:space="0" w:color="000000"/>
            </w:tcBorders>
          </w:tcPr>
          <w:p w14:paraId="33CAC7C9" w14:textId="77777777" w:rsidR="00EC6C7A" w:rsidRPr="00211855" w:rsidRDefault="00211855">
            <w:pPr>
              <w:pStyle w:val="TableParagraph"/>
              <w:spacing w:line="288" w:lineRule="auto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Incorporación de comentarios y segundo borrador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055F2A29" w14:textId="77777777" w:rsidR="00EC6C7A" w:rsidRDefault="00211855">
            <w:pPr>
              <w:pStyle w:val="TableParagraph"/>
              <w:spacing w:before="78"/>
              <w:ind w:left="81"/>
              <w:rPr>
                <w:sz w:val="20"/>
              </w:rPr>
            </w:pPr>
            <w:r>
              <w:rPr>
                <w:sz w:val="20"/>
              </w:rPr>
              <w:t xml:space="preserve">CDI y </w:t>
            </w:r>
            <w:proofErr w:type="spellStart"/>
            <w:r>
              <w:rPr>
                <w:sz w:val="20"/>
              </w:rPr>
              <w:t>equipo</w:t>
            </w:r>
            <w:proofErr w:type="spellEnd"/>
            <w:r>
              <w:rPr>
                <w:sz w:val="20"/>
              </w:rPr>
              <w:t xml:space="preserve"> CDI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 w14:paraId="2EE12CF4" w14:textId="77777777" w:rsidR="00EC6C7A" w:rsidRDefault="00211855">
            <w:pPr>
              <w:pStyle w:val="TableParagraph"/>
              <w:spacing w:before="78"/>
              <w:ind w:left="82"/>
              <w:rPr>
                <w:sz w:val="20"/>
              </w:rPr>
            </w:pPr>
            <w:r>
              <w:rPr>
                <w:sz w:val="20"/>
              </w:rPr>
              <w:t xml:space="preserve">Junio - </w:t>
            </w:r>
            <w:proofErr w:type="spellStart"/>
            <w:r>
              <w:rPr>
                <w:sz w:val="20"/>
              </w:rPr>
              <w:t>julio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</w:tcBorders>
          </w:tcPr>
          <w:p w14:paraId="0F86601D" w14:textId="77777777" w:rsidR="00EC6C7A" w:rsidRDefault="00EC6C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6C7A" w:rsidRPr="00211855" w14:paraId="35809705" w14:textId="77777777">
        <w:trPr>
          <w:trHeight w:val="1034"/>
        </w:trPr>
        <w:tc>
          <w:tcPr>
            <w:tcW w:w="3968" w:type="dxa"/>
          </w:tcPr>
          <w:p w14:paraId="7F67A9BD" w14:textId="77777777" w:rsidR="00EC6C7A" w:rsidRDefault="00211855">
            <w:pPr>
              <w:pStyle w:val="TableParagraph"/>
              <w:spacing w:before="78"/>
              <w:rPr>
                <w:sz w:val="20"/>
              </w:rPr>
            </w:pPr>
            <w:proofErr w:type="spellStart"/>
            <w:r>
              <w:rPr>
                <w:sz w:val="20"/>
              </w:rPr>
              <w:t>Revisión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Consejo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Directivo</w:t>
            </w:r>
            <w:proofErr w:type="spellEnd"/>
          </w:p>
        </w:tc>
        <w:tc>
          <w:tcPr>
            <w:tcW w:w="1843" w:type="dxa"/>
          </w:tcPr>
          <w:p w14:paraId="46E7B2C4" w14:textId="77777777" w:rsidR="00EC6C7A" w:rsidRDefault="00211855">
            <w:pPr>
              <w:pStyle w:val="TableParagraph"/>
              <w:spacing w:before="78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ejecutiva</w:t>
            </w:r>
            <w:proofErr w:type="spellEnd"/>
          </w:p>
        </w:tc>
        <w:tc>
          <w:tcPr>
            <w:tcW w:w="1384" w:type="dxa"/>
          </w:tcPr>
          <w:p w14:paraId="41C1F3D4" w14:textId="77777777" w:rsidR="00EC6C7A" w:rsidRPr="00211855" w:rsidRDefault="00211855">
            <w:pPr>
              <w:pStyle w:val="TableParagraph"/>
              <w:spacing w:line="285" w:lineRule="auto"/>
              <w:ind w:left="82" w:right="365"/>
              <w:jc w:val="both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Reunión de Consejo de julio</w:t>
            </w:r>
          </w:p>
        </w:tc>
        <w:tc>
          <w:tcPr>
            <w:tcW w:w="2693" w:type="dxa"/>
          </w:tcPr>
          <w:p w14:paraId="48B3D1B3" w14:textId="77777777" w:rsidR="00EC6C7A" w:rsidRPr="00211855" w:rsidRDefault="00211855">
            <w:pPr>
              <w:pStyle w:val="TableParagraph"/>
              <w:spacing w:line="288" w:lineRule="auto"/>
              <w:ind w:left="80" w:right="292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Se le pide a Consejero X que haga revisión legal; el resto revisa general.</w:t>
            </w:r>
          </w:p>
        </w:tc>
      </w:tr>
      <w:tr w:rsidR="00EC6C7A" w14:paraId="0A1F8116" w14:textId="77777777">
        <w:trPr>
          <w:trHeight w:val="748"/>
        </w:trPr>
        <w:tc>
          <w:tcPr>
            <w:tcW w:w="3968" w:type="dxa"/>
          </w:tcPr>
          <w:p w14:paraId="212E703D" w14:textId="77777777" w:rsidR="00EC6C7A" w:rsidRPr="00211855" w:rsidRDefault="00211855">
            <w:pPr>
              <w:pStyle w:val="TableParagraph"/>
              <w:spacing w:before="78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Incorporación de comentarios y versión final</w:t>
            </w:r>
          </w:p>
        </w:tc>
        <w:tc>
          <w:tcPr>
            <w:tcW w:w="1843" w:type="dxa"/>
          </w:tcPr>
          <w:p w14:paraId="0D948A56" w14:textId="77777777" w:rsidR="00EC6C7A" w:rsidRDefault="00211855">
            <w:pPr>
              <w:pStyle w:val="TableParagraph"/>
              <w:spacing w:line="288" w:lineRule="auto"/>
              <w:ind w:left="81" w:right="275"/>
              <w:rPr>
                <w:sz w:val="20"/>
              </w:rPr>
            </w:pPr>
            <w:r>
              <w:rPr>
                <w:sz w:val="20"/>
              </w:rPr>
              <w:t xml:space="preserve">CDI; </w:t>
            </w: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ejecutiva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aprueba</w:t>
            </w:r>
            <w:proofErr w:type="spellEnd"/>
          </w:p>
        </w:tc>
        <w:tc>
          <w:tcPr>
            <w:tcW w:w="1384" w:type="dxa"/>
          </w:tcPr>
          <w:p w14:paraId="168BC53C" w14:textId="77777777" w:rsidR="00EC6C7A" w:rsidRDefault="00211855">
            <w:pPr>
              <w:pStyle w:val="TableParagraph"/>
              <w:spacing w:line="285" w:lineRule="auto"/>
              <w:ind w:left="82"/>
              <w:rPr>
                <w:sz w:val="20"/>
              </w:rPr>
            </w:pPr>
            <w:r>
              <w:rPr>
                <w:sz w:val="20"/>
              </w:rPr>
              <w:t xml:space="preserve">Agosto - </w:t>
            </w:r>
            <w:proofErr w:type="spellStart"/>
            <w:r>
              <w:rPr>
                <w:w w:val="95"/>
                <w:sz w:val="20"/>
              </w:rPr>
              <w:t>septiembre</w:t>
            </w:r>
            <w:proofErr w:type="spellEnd"/>
          </w:p>
        </w:tc>
        <w:tc>
          <w:tcPr>
            <w:tcW w:w="2693" w:type="dxa"/>
          </w:tcPr>
          <w:p w14:paraId="0B1A46EC" w14:textId="77777777" w:rsidR="00EC6C7A" w:rsidRDefault="00EC6C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6C7A" w14:paraId="792DBE70" w14:textId="77777777">
        <w:trPr>
          <w:trHeight w:val="750"/>
        </w:trPr>
        <w:tc>
          <w:tcPr>
            <w:tcW w:w="3968" w:type="dxa"/>
          </w:tcPr>
          <w:p w14:paraId="75A7E90E" w14:textId="77777777" w:rsidR="00EC6C7A" w:rsidRPr="00211855" w:rsidRDefault="00211855">
            <w:pPr>
              <w:pStyle w:val="TableParagraph"/>
              <w:spacing w:before="83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Socialización de versión final al equipo</w:t>
            </w:r>
          </w:p>
        </w:tc>
        <w:tc>
          <w:tcPr>
            <w:tcW w:w="1843" w:type="dxa"/>
          </w:tcPr>
          <w:p w14:paraId="45A4A38A" w14:textId="77777777" w:rsidR="00EC6C7A" w:rsidRDefault="00211855">
            <w:pPr>
              <w:pStyle w:val="TableParagraph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ejecutiva</w:t>
            </w:r>
            <w:proofErr w:type="spellEnd"/>
          </w:p>
        </w:tc>
        <w:tc>
          <w:tcPr>
            <w:tcW w:w="1384" w:type="dxa"/>
          </w:tcPr>
          <w:p w14:paraId="5822BCDF" w14:textId="77777777" w:rsidR="00EC6C7A" w:rsidRDefault="00211855">
            <w:pPr>
              <w:pStyle w:val="TableParagraph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Septiembre</w:t>
            </w:r>
            <w:proofErr w:type="spellEnd"/>
          </w:p>
        </w:tc>
        <w:tc>
          <w:tcPr>
            <w:tcW w:w="2693" w:type="dxa"/>
          </w:tcPr>
          <w:p w14:paraId="47B4ABC0" w14:textId="77777777" w:rsidR="00EC6C7A" w:rsidRDefault="00EC6C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C6C7A" w:rsidRPr="00211855" w14:paraId="63C82EE0" w14:textId="77777777">
        <w:trPr>
          <w:trHeight w:val="1034"/>
        </w:trPr>
        <w:tc>
          <w:tcPr>
            <w:tcW w:w="3968" w:type="dxa"/>
          </w:tcPr>
          <w:p w14:paraId="6AEFB8C9" w14:textId="77777777" w:rsidR="00EC6C7A" w:rsidRDefault="0021185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Revisión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anual</w:t>
            </w:r>
            <w:proofErr w:type="spellEnd"/>
          </w:p>
        </w:tc>
        <w:tc>
          <w:tcPr>
            <w:tcW w:w="1843" w:type="dxa"/>
          </w:tcPr>
          <w:p w14:paraId="0990D8A8" w14:textId="77777777" w:rsidR="00EC6C7A" w:rsidRPr="00211855" w:rsidRDefault="00211855">
            <w:pPr>
              <w:pStyle w:val="TableParagraph"/>
              <w:spacing w:before="83" w:line="285" w:lineRule="auto"/>
              <w:ind w:left="81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CDI (en consulta con dirección ejecutiva)</w:t>
            </w:r>
          </w:p>
        </w:tc>
        <w:tc>
          <w:tcPr>
            <w:tcW w:w="1384" w:type="dxa"/>
          </w:tcPr>
          <w:p w14:paraId="14D44C39" w14:textId="77777777" w:rsidR="00EC6C7A" w:rsidRDefault="00211855">
            <w:pPr>
              <w:pStyle w:val="TableParagraph"/>
              <w:spacing w:before="83" w:line="285" w:lineRule="auto"/>
              <w:ind w:left="82" w:right="180"/>
              <w:rPr>
                <w:sz w:val="20"/>
              </w:rPr>
            </w:pPr>
            <w:proofErr w:type="spellStart"/>
            <w:r>
              <w:rPr>
                <w:sz w:val="20"/>
              </w:rPr>
              <w:t>Diciembre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siguiente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año</w:t>
            </w:r>
            <w:proofErr w:type="spellEnd"/>
          </w:p>
        </w:tc>
        <w:tc>
          <w:tcPr>
            <w:tcW w:w="2693" w:type="dxa"/>
          </w:tcPr>
          <w:p w14:paraId="2F7CDA1C" w14:textId="77777777" w:rsidR="00EC6C7A" w:rsidRPr="00211855" w:rsidRDefault="00211855">
            <w:pPr>
              <w:pStyle w:val="TableParagraph"/>
              <w:spacing w:before="83" w:line="288" w:lineRule="auto"/>
              <w:ind w:left="80" w:right="67"/>
              <w:rPr>
                <w:sz w:val="20"/>
                <w:lang w:val="es-MX"/>
              </w:rPr>
            </w:pPr>
            <w:r w:rsidRPr="00211855">
              <w:rPr>
                <w:sz w:val="20"/>
                <w:lang w:val="es-MX"/>
              </w:rPr>
              <w:t>Identificar puntos específicos a revisar, contestar preguntas guía.</w:t>
            </w:r>
          </w:p>
        </w:tc>
      </w:tr>
    </w:tbl>
    <w:p w14:paraId="11BB24E3" w14:textId="77777777" w:rsidR="00EC6C7A" w:rsidRPr="00211855" w:rsidRDefault="00EC6C7A">
      <w:pPr>
        <w:pStyle w:val="BodyText"/>
        <w:spacing w:before="5"/>
        <w:rPr>
          <w:b/>
          <w:sz w:val="41"/>
          <w:lang w:val="es-MX"/>
        </w:rPr>
      </w:pPr>
    </w:p>
    <w:p w14:paraId="5382E651" w14:textId="77777777" w:rsidR="00EC6C7A" w:rsidRPr="00211855" w:rsidRDefault="00211855">
      <w:pPr>
        <w:pStyle w:val="BodyText"/>
        <w:spacing w:line="278" w:lineRule="auto"/>
        <w:ind w:left="200" w:right="175"/>
        <w:rPr>
          <w:lang w:val="es-MX"/>
        </w:rPr>
      </w:pPr>
      <w:r w:rsidRPr="00211855">
        <w:rPr>
          <w:b/>
          <w:lang w:val="es-MX"/>
        </w:rPr>
        <w:t xml:space="preserve">Fuente: </w:t>
      </w:r>
      <w:r w:rsidRPr="00211855">
        <w:rPr>
          <w:lang w:val="es-MX"/>
        </w:rPr>
        <w:t xml:space="preserve">Cómo elaborar un manual de políticas institucionales: Una guía práctica para organizaciones no- gubernamentales en América Latina. Victoria Wigodzky y Martha Farmelo 2015. </w:t>
      </w:r>
      <w:hyperlink r:id="rId4">
        <w:r w:rsidRPr="00211855">
          <w:rPr>
            <w:color w:val="0462C1"/>
            <w:u w:val="single" w:color="0462C1"/>
            <w:lang w:val="es-MX"/>
          </w:rPr>
          <w:t>http://orgsefectivas.org/wp-</w:t>
        </w:r>
      </w:hyperlink>
      <w:r w:rsidRPr="00211855">
        <w:rPr>
          <w:color w:val="0462C1"/>
          <w:lang w:val="es-MX"/>
        </w:rPr>
        <w:t xml:space="preserve"> </w:t>
      </w:r>
      <w:hyperlink r:id="rId5">
        <w:r w:rsidRPr="00211855">
          <w:rPr>
            <w:color w:val="0462C1"/>
            <w:u w:val="single" w:color="0462C1"/>
            <w:lang w:val="es-MX"/>
          </w:rPr>
          <w:t>content/uploads/Gu%C3%ADa-manuales-institucionales-Diciembre-2015.pdf</w:t>
        </w:r>
      </w:hyperlink>
    </w:p>
    <w:p w14:paraId="5FCA80B3" w14:textId="77777777" w:rsidR="00EC6C7A" w:rsidRPr="00211855" w:rsidRDefault="00EC6C7A">
      <w:pPr>
        <w:pStyle w:val="BodyText"/>
        <w:spacing w:before="4"/>
        <w:rPr>
          <w:sz w:val="25"/>
          <w:lang w:val="es-MX"/>
        </w:rPr>
      </w:pPr>
    </w:p>
    <w:p w14:paraId="76B8339B" w14:textId="77777777" w:rsidR="00EC6C7A" w:rsidRDefault="00211855">
      <w:pPr>
        <w:spacing w:before="59"/>
        <w:ind w:right="175"/>
        <w:jc w:val="right"/>
        <w:rPr>
          <w:sz w:val="20"/>
        </w:rPr>
      </w:pPr>
      <w:r>
        <w:rPr>
          <w:color w:val="808080"/>
          <w:w w:val="99"/>
          <w:sz w:val="20"/>
        </w:rPr>
        <w:t>1</w:t>
      </w:r>
    </w:p>
    <w:sectPr w:rsidR="00EC6C7A">
      <w:type w:val="continuous"/>
      <w:pgSz w:w="11910" w:h="16840"/>
      <w:pgMar w:top="140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7A"/>
    <w:rsid w:val="00211855"/>
    <w:rsid w:val="00E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E757"/>
  <w15:docId w15:val="{BB5A12A8-4E47-4053-B82B-F3278632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gsefectivas.org/wp-content/uploads/Gu%C3%ADa-manuales-institucionales-Diciembre-2015.pdf" TargetMode="External"/><Relationship Id="rId4" Type="http://schemas.openxmlformats.org/officeDocument/2006/relationships/hyperlink" Target="http://orgsefectivas.org/wp-content/uploads/Gu%C3%ADa-manuales-institucionales-Diciembre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Emiliana</dc:creator>
  <cp:lastModifiedBy>ok</cp:lastModifiedBy>
  <cp:revision>2</cp:revision>
  <dcterms:created xsi:type="dcterms:W3CDTF">2021-03-13T23:17:00Z</dcterms:created>
  <dcterms:modified xsi:type="dcterms:W3CDTF">2021-03-13T23:17:00Z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2021-03-13T00:00:00Z</vt:filetime>
  </property>
</Properties>
</file>